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51" w:rsidRDefault="00393B51">
      <w:pPr>
        <w:pStyle w:val="GvdeMetni"/>
        <w:spacing w:before="8"/>
        <w:rPr>
          <w:sz w:val="22"/>
        </w:rPr>
      </w:pPr>
    </w:p>
    <w:p w:rsidR="00393B51" w:rsidRDefault="00747325">
      <w:pPr>
        <w:pStyle w:val="GvdeMetni"/>
        <w:spacing w:before="94" w:line="249" w:lineRule="auto"/>
        <w:ind w:left="4373" w:right="4277" w:firstLine="722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469900</wp:posOffset>
            </wp:positionH>
            <wp:positionV relativeFrom="paragraph">
              <wp:posOffset>-165810</wp:posOffset>
            </wp:positionV>
            <wp:extent cx="857250" cy="857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340.15pt;margin-top:-13.05pt;width:226.6pt;height:67.5pt;z-index:-251658240;mso-position-horizontal-relative:page;mso-position-vertical-relative:text" coordorigin="6803,-261" coordsize="4532,13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750;top:-262;width:1410;height:1350">
              <v:imagedata r:id="rId8" o:title=""/>
            </v:shape>
            <v:shape id="_x0000_s1027" type="#_x0000_t75" style="position:absolute;left:6802;top:-179;width:4532;height:490">
              <v:imagedata r:id="rId9" o:title=""/>
            </v:shape>
            <w10:wrap anchorx="page"/>
          </v:group>
        </w:pict>
      </w:r>
      <w:r>
        <w:t>T.C. MUĞLA VALİLİĞİ</w:t>
      </w:r>
    </w:p>
    <w:p w:rsidR="00393B51" w:rsidRDefault="00747325">
      <w:pPr>
        <w:pStyle w:val="GvdeMetni"/>
        <w:spacing w:line="264" w:lineRule="exact"/>
        <w:ind w:left="801" w:right="761"/>
        <w:jc w:val="center"/>
      </w:pPr>
      <w:r>
        <w:t>İl Yazı İşleri Müdürlüğü</w:t>
      </w: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spacing w:before="6"/>
        <w:rPr>
          <w:sz w:val="20"/>
        </w:rPr>
      </w:pPr>
    </w:p>
    <w:p w:rsidR="00393B51" w:rsidRDefault="00747325">
      <w:pPr>
        <w:pStyle w:val="GvdeMetni"/>
        <w:tabs>
          <w:tab w:val="right" w:pos="10434"/>
        </w:tabs>
        <w:spacing w:before="94"/>
        <w:ind w:left="181"/>
      </w:pPr>
      <w:r>
        <w:t>Sayı</w:t>
      </w:r>
      <w:r>
        <w:rPr>
          <w:spacing w:val="1"/>
        </w:rPr>
        <w:t xml:space="preserve"> </w:t>
      </w:r>
      <w:r>
        <w:rPr>
          <w:spacing w:val="-5"/>
        </w:rPr>
        <w:t>:E­53747121­153­7286</w:t>
      </w:r>
      <w:r>
        <w:rPr>
          <w:spacing w:val="-5"/>
        </w:rPr>
        <w:tab/>
      </w:r>
      <w:r>
        <w:rPr>
          <w:spacing w:val="-4"/>
        </w:rPr>
        <w:t>08.04.2021</w:t>
      </w:r>
    </w:p>
    <w:p w:rsidR="00393B51" w:rsidRDefault="00747325">
      <w:pPr>
        <w:pStyle w:val="GvdeMetni"/>
        <w:spacing w:before="10"/>
        <w:ind w:left="181"/>
      </w:pPr>
      <w:r>
        <w:t>Konu :Koronavirüs Tedbirleri Farkındalığı Hk.</w:t>
      </w:r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rPr>
          <w:sz w:val="36"/>
        </w:rPr>
      </w:pPr>
    </w:p>
    <w:p w:rsidR="00393B51" w:rsidRDefault="00747325">
      <w:pPr>
        <w:pStyle w:val="GvdeMetni"/>
        <w:ind w:left="790" w:right="765"/>
        <w:jc w:val="center"/>
      </w:pPr>
      <w:r>
        <w:t>DAĞITIM YERLERİNE</w:t>
      </w:r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spacing w:before="4"/>
        <w:rPr>
          <w:sz w:val="25"/>
        </w:rPr>
      </w:pPr>
    </w:p>
    <w:p w:rsidR="00393B51" w:rsidRDefault="00747325">
      <w:pPr>
        <w:pStyle w:val="GvdeMetni"/>
        <w:ind w:left="211"/>
      </w:pPr>
      <w:r>
        <w:t>İlgi : İçişleri Bakanlığı İller İdaresi Genel Müdürlüğünün 07.04.2021 tarihli ve 6256 sayılı Genelgesi.</w:t>
      </w:r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spacing w:before="2"/>
        <w:rPr>
          <w:sz w:val="21"/>
        </w:rPr>
      </w:pPr>
    </w:p>
    <w:p w:rsidR="00393B51" w:rsidRDefault="00747325">
      <w:pPr>
        <w:pStyle w:val="GvdeMetni"/>
        <w:spacing w:line="220" w:lineRule="auto"/>
        <w:ind w:left="181" w:right="117" w:firstLine="519"/>
        <w:jc w:val="both"/>
      </w:pPr>
      <w:r>
        <w:t>Tüm dünyayı etkisi altına alan koronavirüs (Covid­19) salgınının solunum yoluyla çok yüksek bir bulaşıcılığa sahip olduğu bilinmektedir. Bu nedenle kişilerin kalabalık ortamlarda bir araya gelmelerini önleyici tedbirlerin alınmasının yanı sıra kişisel açıd</w:t>
      </w:r>
      <w:r>
        <w:t>an da hijyen kurallarına riayet etme ve maske kullanma büyük önem taşımaktadır.</w:t>
      </w:r>
    </w:p>
    <w:p w:rsidR="00393B51" w:rsidRDefault="00C2432B">
      <w:pPr>
        <w:pStyle w:val="GvdeMetni"/>
        <w:spacing w:before="4" w:line="220" w:lineRule="auto"/>
        <w:ind w:left="181" w:right="115" w:firstLine="481"/>
        <w:jc w:val="both"/>
      </w:pPr>
      <w:r>
        <w:t>Hâlihazırda</w:t>
      </w:r>
      <w:r w:rsidR="00747325">
        <w:t xml:space="preserve"> </w:t>
      </w:r>
      <w:r w:rsidR="00747325">
        <w:rPr>
          <w:b/>
        </w:rPr>
        <w:t xml:space="preserve">“TEMİZLİK, MASKE ve MESAFE” </w:t>
      </w:r>
      <w:r w:rsidR="00747325">
        <w:t>kuralları tüm dünyada salgınla mücadelede en etkili önlemler olarak görülmektedir. Bu doğrultuda Bakanlığımızca konuyla ilgili olarak va</w:t>
      </w:r>
      <w:r w:rsidR="00747325">
        <w:t xml:space="preserve">tandaşlarımızın farkındalıklarının ve hassasiyetlerinin yükseltilmesi amacıyla çeşitli görseller hazırlanarak </w:t>
      </w:r>
      <w:hyperlink r:id="rId10">
        <w:r w:rsidR="00BE6327" w:rsidRPr="00BE6327">
          <w:rPr>
            <w:color w:val="0000ED"/>
            <w:u w:val="single" w:color="0000ED"/>
          </w:rPr>
          <w:t>https://www.icisleri.gov.tr/illeridaresi/gorsellerde-kullanilacak-olan-afisler</w:t>
        </w:r>
        <w:r w:rsidR="00747325">
          <w:rPr>
            <w:color w:val="0000ED"/>
          </w:rPr>
          <w:t xml:space="preserve"> </w:t>
        </w:r>
      </w:hyperlink>
      <w:r w:rsidR="00747325">
        <w:t>linkinde yayınlanmıştır.</w:t>
      </w:r>
    </w:p>
    <w:p w:rsidR="00393B51" w:rsidRDefault="00747325">
      <w:pPr>
        <w:pStyle w:val="GvdeMetni"/>
        <w:spacing w:line="241" w:lineRule="exact"/>
        <w:ind w:left="654"/>
        <w:jc w:val="both"/>
      </w:pPr>
      <w:r>
        <w:t>Bu kapsamda;</w:t>
      </w:r>
    </w:p>
    <w:p w:rsidR="00393B51" w:rsidRDefault="00747325">
      <w:pPr>
        <w:pStyle w:val="ListeParagraf"/>
        <w:numPr>
          <w:ilvl w:val="0"/>
          <w:numId w:val="1"/>
        </w:numPr>
        <w:tabs>
          <w:tab w:val="left" w:pos="1047"/>
        </w:tabs>
        <w:spacing w:before="7" w:line="220" w:lineRule="auto"/>
        <w:ind w:right="134" w:firstLine="488"/>
        <w:jc w:val="both"/>
        <w:rPr>
          <w:sz w:val="23"/>
        </w:rPr>
      </w:pPr>
      <w:r>
        <w:rPr>
          <w:b/>
          <w:sz w:val="23"/>
        </w:rPr>
        <w:t xml:space="preserve">. </w:t>
      </w:r>
      <w:r>
        <w:rPr>
          <w:spacing w:val="10"/>
          <w:sz w:val="23"/>
        </w:rPr>
        <w:t xml:space="preserve">Koronavirüs salgınıyla mücadelenin </w:t>
      </w:r>
      <w:r w:rsidR="00C2432B">
        <w:rPr>
          <w:spacing w:val="10"/>
          <w:sz w:val="23"/>
        </w:rPr>
        <w:t>etkinliği açısından söz</w:t>
      </w:r>
      <w:r>
        <w:rPr>
          <w:spacing w:val="8"/>
          <w:sz w:val="23"/>
        </w:rPr>
        <w:t xml:space="preserve">  </w:t>
      </w:r>
      <w:r>
        <w:rPr>
          <w:spacing w:val="10"/>
          <w:sz w:val="23"/>
        </w:rPr>
        <w:t xml:space="preserve">konusu  afişlerin </w:t>
      </w:r>
      <w:r>
        <w:rPr>
          <w:spacing w:val="12"/>
          <w:sz w:val="23"/>
        </w:rPr>
        <w:t>Valiliğimiz,</w:t>
      </w:r>
      <w:r>
        <w:rPr>
          <w:spacing w:val="31"/>
          <w:sz w:val="23"/>
        </w:rPr>
        <w:t xml:space="preserve"> </w:t>
      </w:r>
      <w:r>
        <w:rPr>
          <w:spacing w:val="3"/>
          <w:sz w:val="23"/>
        </w:rPr>
        <w:t>kaymakamlık,</w:t>
      </w:r>
      <w:r>
        <w:rPr>
          <w:spacing w:val="28"/>
          <w:sz w:val="23"/>
        </w:rPr>
        <w:t xml:space="preserve"> </w:t>
      </w:r>
      <w:r>
        <w:rPr>
          <w:spacing w:val="3"/>
          <w:sz w:val="23"/>
        </w:rPr>
        <w:t>jandarma</w:t>
      </w:r>
      <w:r>
        <w:rPr>
          <w:spacing w:val="28"/>
          <w:sz w:val="23"/>
        </w:rPr>
        <w:t xml:space="preserve"> </w:t>
      </w:r>
      <w:r>
        <w:rPr>
          <w:sz w:val="23"/>
        </w:rPr>
        <w:t>ve</w:t>
      </w:r>
      <w:r>
        <w:rPr>
          <w:spacing w:val="27"/>
          <w:sz w:val="23"/>
        </w:rPr>
        <w:t xml:space="preserve"> </w:t>
      </w:r>
      <w:r>
        <w:rPr>
          <w:spacing w:val="3"/>
          <w:sz w:val="23"/>
        </w:rPr>
        <w:t>emniyet</w:t>
      </w:r>
      <w:r>
        <w:rPr>
          <w:spacing w:val="28"/>
          <w:sz w:val="23"/>
        </w:rPr>
        <w:t xml:space="preserve"> </w:t>
      </w:r>
      <w:r>
        <w:rPr>
          <w:spacing w:val="3"/>
          <w:sz w:val="23"/>
        </w:rPr>
        <w:t>binaları</w:t>
      </w:r>
      <w:r>
        <w:rPr>
          <w:spacing w:val="28"/>
          <w:sz w:val="23"/>
        </w:rPr>
        <w:t xml:space="preserve"> </w:t>
      </w:r>
      <w:r>
        <w:rPr>
          <w:spacing w:val="3"/>
          <w:sz w:val="23"/>
        </w:rPr>
        <w:t>başta</w:t>
      </w:r>
      <w:r>
        <w:rPr>
          <w:spacing w:val="28"/>
          <w:sz w:val="23"/>
        </w:rPr>
        <w:t xml:space="preserve"> </w:t>
      </w:r>
      <w:r>
        <w:rPr>
          <w:spacing w:val="3"/>
          <w:sz w:val="23"/>
        </w:rPr>
        <w:t>olmak</w:t>
      </w:r>
      <w:r>
        <w:rPr>
          <w:spacing w:val="28"/>
          <w:sz w:val="23"/>
        </w:rPr>
        <w:t xml:space="preserve"> </w:t>
      </w:r>
      <w:r>
        <w:rPr>
          <w:spacing w:val="3"/>
          <w:sz w:val="23"/>
        </w:rPr>
        <w:t>üzere</w:t>
      </w:r>
      <w:r>
        <w:rPr>
          <w:spacing w:val="27"/>
          <w:sz w:val="23"/>
        </w:rPr>
        <w:t xml:space="preserve"> </w:t>
      </w:r>
      <w:r>
        <w:rPr>
          <w:spacing w:val="3"/>
          <w:sz w:val="23"/>
        </w:rPr>
        <w:t>kamu</w:t>
      </w:r>
      <w:r>
        <w:rPr>
          <w:spacing w:val="28"/>
          <w:sz w:val="23"/>
        </w:rPr>
        <w:t xml:space="preserve"> </w:t>
      </w:r>
      <w:r>
        <w:rPr>
          <w:spacing w:val="3"/>
          <w:sz w:val="23"/>
        </w:rPr>
        <w:t>binalarına</w:t>
      </w:r>
      <w:r>
        <w:rPr>
          <w:spacing w:val="28"/>
          <w:sz w:val="23"/>
        </w:rPr>
        <w:t xml:space="preserve"> </w:t>
      </w:r>
      <w:r>
        <w:rPr>
          <w:spacing w:val="3"/>
          <w:sz w:val="23"/>
        </w:rPr>
        <w:t>asılmasının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ve </w:t>
      </w:r>
      <w:r>
        <w:rPr>
          <w:spacing w:val="4"/>
          <w:sz w:val="23"/>
        </w:rPr>
        <w:t xml:space="preserve">şehirlerin </w:t>
      </w:r>
      <w:r>
        <w:rPr>
          <w:sz w:val="23"/>
        </w:rPr>
        <w:t>görünürlüğü yüksek billboard, dev ekran gibi tanıtım mecralarında bu afişlere yer verilmesinin sağlanması,</w:t>
      </w:r>
    </w:p>
    <w:p w:rsidR="00393B51" w:rsidRDefault="00747325">
      <w:pPr>
        <w:pStyle w:val="ListeParagraf"/>
        <w:numPr>
          <w:ilvl w:val="0"/>
          <w:numId w:val="1"/>
        </w:numPr>
        <w:tabs>
          <w:tab w:val="left" w:pos="976"/>
        </w:tabs>
        <w:spacing w:line="220" w:lineRule="auto"/>
        <w:ind w:firstLine="488"/>
        <w:jc w:val="both"/>
        <w:rPr>
          <w:sz w:val="23"/>
        </w:rPr>
      </w:pPr>
      <w:r>
        <w:rPr>
          <w:spacing w:val="4"/>
          <w:sz w:val="23"/>
        </w:rPr>
        <w:t xml:space="preserve">Ayrıca; belediyelerin </w:t>
      </w:r>
      <w:r>
        <w:rPr>
          <w:spacing w:val="2"/>
          <w:sz w:val="23"/>
        </w:rPr>
        <w:t xml:space="preserve">ve </w:t>
      </w:r>
      <w:r>
        <w:rPr>
          <w:spacing w:val="4"/>
          <w:sz w:val="23"/>
        </w:rPr>
        <w:t xml:space="preserve">kolluk/zabıta araçlarının sesli duyuru sistemleri </w:t>
      </w:r>
      <w:r>
        <w:rPr>
          <w:spacing w:val="3"/>
          <w:sz w:val="23"/>
        </w:rPr>
        <w:t xml:space="preserve">ile </w:t>
      </w:r>
      <w:r>
        <w:rPr>
          <w:spacing w:val="4"/>
          <w:sz w:val="23"/>
        </w:rPr>
        <w:t xml:space="preserve">camilerden </w:t>
      </w:r>
      <w:r>
        <w:rPr>
          <w:spacing w:val="5"/>
          <w:sz w:val="23"/>
        </w:rPr>
        <w:t xml:space="preserve">yapılan </w:t>
      </w:r>
      <w:r>
        <w:rPr>
          <w:spacing w:val="2"/>
          <w:sz w:val="23"/>
        </w:rPr>
        <w:t xml:space="preserve">anonslar </w:t>
      </w:r>
      <w:r>
        <w:rPr>
          <w:sz w:val="23"/>
        </w:rPr>
        <w:t xml:space="preserve">ve </w:t>
      </w:r>
      <w:r>
        <w:rPr>
          <w:spacing w:val="2"/>
          <w:sz w:val="23"/>
        </w:rPr>
        <w:t>televizyon, radyo, gazete, sosyal medya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ve </w:t>
      </w:r>
      <w:r>
        <w:rPr>
          <w:spacing w:val="2"/>
          <w:sz w:val="23"/>
        </w:rPr>
        <w:t xml:space="preserve">benzeri iletişim kanallarıyla yapılacak </w:t>
      </w:r>
      <w:r>
        <w:rPr>
          <w:spacing w:val="3"/>
          <w:sz w:val="23"/>
        </w:rPr>
        <w:t xml:space="preserve">paylaşımlar </w:t>
      </w:r>
      <w:r>
        <w:rPr>
          <w:spacing w:val="7"/>
          <w:sz w:val="23"/>
        </w:rPr>
        <w:t xml:space="preserve">vasıtasıyla vatandaşlarımıza </w:t>
      </w:r>
      <w:r>
        <w:rPr>
          <w:spacing w:val="6"/>
          <w:sz w:val="23"/>
        </w:rPr>
        <w:t xml:space="preserve">temizlik, </w:t>
      </w:r>
      <w:r>
        <w:rPr>
          <w:spacing w:val="5"/>
          <w:sz w:val="23"/>
        </w:rPr>
        <w:t xml:space="preserve">maske </w:t>
      </w:r>
      <w:r>
        <w:rPr>
          <w:spacing w:val="4"/>
          <w:sz w:val="23"/>
        </w:rPr>
        <w:t xml:space="preserve">ve </w:t>
      </w:r>
      <w:r>
        <w:rPr>
          <w:spacing w:val="5"/>
          <w:sz w:val="23"/>
        </w:rPr>
        <w:t xml:space="preserve">mesafe temel </w:t>
      </w:r>
      <w:r>
        <w:rPr>
          <w:spacing w:val="7"/>
          <w:sz w:val="23"/>
        </w:rPr>
        <w:t xml:space="preserve">prensipleri </w:t>
      </w:r>
      <w:r>
        <w:rPr>
          <w:spacing w:val="6"/>
          <w:sz w:val="23"/>
        </w:rPr>
        <w:t xml:space="preserve">başta olmak üzere </w:t>
      </w:r>
      <w:r>
        <w:rPr>
          <w:spacing w:val="8"/>
          <w:sz w:val="23"/>
        </w:rPr>
        <w:t xml:space="preserve">kurallara </w:t>
      </w:r>
      <w:r>
        <w:rPr>
          <w:sz w:val="23"/>
        </w:rPr>
        <w:t>uymanın toplumsal bir sorumluluk olduğunun sık sık</w:t>
      </w:r>
      <w:r>
        <w:rPr>
          <w:spacing w:val="29"/>
          <w:sz w:val="23"/>
        </w:rPr>
        <w:t xml:space="preserve"> </w:t>
      </w:r>
      <w:r>
        <w:rPr>
          <w:sz w:val="23"/>
        </w:rPr>
        <w:t>hatırlatılması,</w:t>
      </w:r>
    </w:p>
    <w:p w:rsidR="00393B51" w:rsidRDefault="00747325">
      <w:pPr>
        <w:pStyle w:val="GvdeMetni"/>
        <w:spacing w:before="3" w:line="220" w:lineRule="auto"/>
        <w:ind w:left="181" w:right="115" w:firstLine="552"/>
        <w:jc w:val="both"/>
      </w:pPr>
      <w:r>
        <w:t>Hususlarında gerekli hassasiyeti</w:t>
      </w:r>
      <w:r>
        <w:t>n gösterilmesi ve uygulamada herhangi bir aksamaya meydan verilmemesini önemle arz ve rica ederim</w:t>
      </w:r>
      <w:r w:rsidR="00C2432B">
        <w:t xml:space="preserve">. </w:t>
      </w:r>
      <w:bookmarkStart w:id="0" w:name="_GoBack"/>
      <w:bookmarkEnd w:id="0"/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rPr>
          <w:sz w:val="26"/>
        </w:rPr>
      </w:pPr>
    </w:p>
    <w:p w:rsidR="00393B51" w:rsidRDefault="00747325">
      <w:pPr>
        <w:pStyle w:val="GvdeMetni"/>
        <w:spacing w:before="166" w:line="249" w:lineRule="auto"/>
        <w:ind w:left="9237" w:right="166" w:hanging="550"/>
      </w:pPr>
      <w:r>
        <w:t>M. Suphi OLCAY Vali a.</w:t>
      </w:r>
    </w:p>
    <w:p w:rsidR="00393B51" w:rsidRDefault="00747325">
      <w:pPr>
        <w:pStyle w:val="GvdeMetni"/>
        <w:spacing w:line="264" w:lineRule="exact"/>
        <w:ind w:left="8837"/>
      </w:pPr>
      <w:r>
        <w:t>Vali Yardımcısı</w:t>
      </w:r>
    </w:p>
    <w:p w:rsidR="00393B51" w:rsidRDefault="00393B51">
      <w:pPr>
        <w:pStyle w:val="GvdeMetni"/>
        <w:rPr>
          <w:sz w:val="26"/>
        </w:rPr>
      </w:pPr>
    </w:p>
    <w:p w:rsidR="00393B51" w:rsidRDefault="00393B51">
      <w:pPr>
        <w:pStyle w:val="GvdeMetni"/>
        <w:spacing w:before="4"/>
        <w:rPr>
          <w:sz w:val="25"/>
        </w:rPr>
      </w:pPr>
    </w:p>
    <w:p w:rsidR="00393B51" w:rsidRDefault="00747325">
      <w:pPr>
        <w:pStyle w:val="GvdeMetni"/>
        <w:ind w:left="181"/>
      </w:pPr>
      <w:r>
        <w:t>Dağıtım:</w:t>
      </w:r>
    </w:p>
    <w:p w:rsidR="00393B51" w:rsidRDefault="00747325">
      <w:pPr>
        <w:pStyle w:val="GvdeMetni"/>
        <w:tabs>
          <w:tab w:val="left" w:pos="5340"/>
        </w:tabs>
        <w:spacing w:before="41"/>
        <w:ind w:left="211"/>
      </w:pPr>
      <w:r>
        <w:rPr>
          <w:spacing w:val="-4"/>
        </w:rPr>
        <w:t>Gereği:</w:t>
      </w:r>
      <w:r>
        <w:rPr>
          <w:spacing w:val="-4"/>
        </w:rPr>
        <w:tab/>
      </w:r>
      <w:r>
        <w:rPr>
          <w:spacing w:val="-7"/>
        </w:rPr>
        <w:t>Bilgi:</w:t>
      </w:r>
    </w:p>
    <w:p w:rsidR="00393B51" w:rsidRDefault="00393B51">
      <w:pPr>
        <w:sectPr w:rsidR="00393B51">
          <w:footerReference w:type="default" r:id="rId11"/>
          <w:type w:val="continuous"/>
          <w:pgSz w:w="11900" w:h="16840"/>
          <w:pgMar w:top="200" w:right="680" w:bottom="2060" w:left="640" w:header="708" w:footer="1878" w:gutter="0"/>
          <w:pgNumType w:start="1"/>
          <w:cols w:space="708"/>
        </w:sectPr>
      </w:pPr>
    </w:p>
    <w:p w:rsidR="00393B51" w:rsidRDefault="00747325">
      <w:pPr>
        <w:pStyle w:val="GvdeMetni"/>
        <w:spacing w:before="51"/>
        <w:ind w:left="211"/>
      </w:pPr>
      <w:r>
        <w:lastRenderedPageBreak/>
        <w:t>Kaymakamlıklar</w:t>
      </w:r>
    </w:p>
    <w:p w:rsidR="00393B51" w:rsidRDefault="00747325">
      <w:pPr>
        <w:pStyle w:val="GvdeMetni"/>
        <w:spacing w:before="10" w:line="249" w:lineRule="auto"/>
        <w:ind w:left="211" w:right="26"/>
      </w:pPr>
      <w:r>
        <w:t>Kamu Kurum ve Kuruluşları Muğla İl Basın ve Halkla İlişkiler</w:t>
      </w:r>
    </w:p>
    <w:p w:rsidR="00393B51" w:rsidRDefault="00747325">
      <w:pPr>
        <w:pStyle w:val="GvdeMetni"/>
        <w:spacing w:before="51"/>
        <w:ind w:left="211"/>
      </w:pPr>
      <w:r>
        <w:br w:type="column"/>
      </w:r>
      <w:r>
        <w:lastRenderedPageBreak/>
        <w:t>Muğla Cumhuriyet Başsavcılığına</w:t>
      </w:r>
    </w:p>
    <w:p w:rsidR="00393B51" w:rsidRDefault="00393B51">
      <w:pPr>
        <w:sectPr w:rsidR="00393B51">
          <w:type w:val="continuous"/>
          <w:pgSz w:w="11900" w:h="16840"/>
          <w:pgMar w:top="200" w:right="680" w:bottom="2060" w:left="640" w:header="708" w:footer="708" w:gutter="0"/>
          <w:cols w:num="2" w:space="708" w:equalWidth="0">
            <w:col w:w="3355" w:space="1774"/>
            <w:col w:w="5451"/>
          </w:cols>
        </w:sectPr>
      </w:pPr>
    </w:p>
    <w:p w:rsidR="00393B51" w:rsidRDefault="00393B51">
      <w:pPr>
        <w:pStyle w:val="GvdeMetni"/>
        <w:spacing w:before="11"/>
        <w:rPr>
          <w:sz w:val="21"/>
        </w:rPr>
      </w:pPr>
    </w:p>
    <w:p w:rsidR="00393B51" w:rsidRDefault="00747325">
      <w:pPr>
        <w:spacing w:before="96"/>
        <w:ind w:left="800" w:right="765"/>
        <w:jc w:val="center"/>
        <w:rPr>
          <w:sz w:val="17"/>
        </w:rPr>
      </w:pPr>
      <w:r>
        <w:rPr>
          <w:color w:val="FF0000"/>
          <w:sz w:val="17"/>
        </w:rPr>
        <w:t>Bu belge, güvenli elektronik imza ile imzalanmıştır.</w:t>
      </w:r>
    </w:p>
    <w:p w:rsidR="00393B51" w:rsidRDefault="00747325">
      <w:pPr>
        <w:spacing w:before="8"/>
        <w:ind w:left="801" w:right="765"/>
        <w:jc w:val="center"/>
        <w:rPr>
          <w:i/>
          <w:sz w:val="17"/>
        </w:rPr>
      </w:pPr>
      <w:r>
        <w:rPr>
          <w:sz w:val="17"/>
        </w:rPr>
        <w:t xml:space="preserve">Doğrulama Kodu: </w:t>
      </w:r>
      <w:r>
        <w:rPr>
          <w:rFonts w:ascii="Courier New" w:hAnsi="Courier New"/>
          <w:sz w:val="17"/>
        </w:rPr>
        <w:t xml:space="preserve">Tz64Ti­Z2ljwF­8NfRuI­uodVoO­/UykNcWw </w:t>
      </w:r>
      <w:r>
        <w:rPr>
          <w:sz w:val="17"/>
        </w:rPr>
        <w:t xml:space="preserve">Doğrulama Linki: </w:t>
      </w:r>
      <w:hyperlink r:id="rId12">
        <w:r>
          <w:rPr>
            <w:i/>
            <w:sz w:val="17"/>
            <w:u w:val="single"/>
          </w:rPr>
          <w:t>https://www.turkiye.gov.tr/icisleri­ebys</w:t>
        </w:r>
      </w:hyperlink>
    </w:p>
    <w:p w:rsidR="00393B51" w:rsidRDefault="00393B51">
      <w:pPr>
        <w:jc w:val="center"/>
        <w:rPr>
          <w:sz w:val="17"/>
        </w:rPr>
        <w:sectPr w:rsidR="00393B51">
          <w:type w:val="continuous"/>
          <w:pgSz w:w="11900" w:h="16840"/>
          <w:pgMar w:top="200" w:right="680" w:bottom="2060" w:left="640" w:header="708" w:footer="708" w:gutter="0"/>
          <w:cols w:space="708"/>
        </w:sectPr>
      </w:pPr>
    </w:p>
    <w:p w:rsidR="00393B51" w:rsidRDefault="00747325">
      <w:pPr>
        <w:pStyle w:val="GvdeMetni"/>
        <w:spacing w:before="68"/>
        <w:ind w:left="211"/>
      </w:pPr>
      <w:r>
        <w:rPr>
          <w:noProof/>
          <w:lang w:eastAsia="tr-T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4319778</wp:posOffset>
            </wp:positionH>
            <wp:positionV relativeFrom="paragraph">
              <wp:posOffset>109093</wp:posOffset>
            </wp:positionV>
            <wp:extent cx="2572512" cy="30480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Müdürlüğüne</w:t>
      </w:r>
    </w:p>
    <w:p w:rsidR="00393B51" w:rsidRDefault="00747325">
      <w:pPr>
        <w:pStyle w:val="GvdeMetni"/>
        <w:spacing w:before="11"/>
        <w:ind w:left="211"/>
      </w:pPr>
      <w:r>
        <w:t>Muğla İdari Hizmetler Şube Müdürlüğüne</w:t>
      </w: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rPr>
          <w:sz w:val="20"/>
        </w:rPr>
      </w:pPr>
    </w:p>
    <w:p w:rsidR="00393B51" w:rsidRDefault="00393B51">
      <w:pPr>
        <w:pStyle w:val="GvdeMetni"/>
        <w:spacing w:before="6"/>
        <w:rPr>
          <w:sz w:val="22"/>
        </w:rPr>
      </w:pPr>
    </w:p>
    <w:p w:rsidR="00393B51" w:rsidRDefault="00747325">
      <w:pPr>
        <w:ind w:left="800" w:right="765"/>
        <w:jc w:val="center"/>
        <w:rPr>
          <w:sz w:val="17"/>
        </w:rPr>
      </w:pPr>
      <w:r>
        <w:rPr>
          <w:color w:val="FF0000"/>
          <w:sz w:val="17"/>
        </w:rPr>
        <w:t>Bu belge, güvenli elektronik imza ile imzalanmıştır.</w:t>
      </w:r>
    </w:p>
    <w:p w:rsidR="00393B51" w:rsidRDefault="00747325">
      <w:pPr>
        <w:spacing w:before="8"/>
        <w:ind w:left="801" w:right="765"/>
        <w:jc w:val="center"/>
        <w:rPr>
          <w:i/>
          <w:sz w:val="17"/>
        </w:rPr>
      </w:pPr>
      <w:r>
        <w:rPr>
          <w:sz w:val="17"/>
        </w:rPr>
        <w:t xml:space="preserve">Doğrulama Kodu: </w:t>
      </w:r>
      <w:r>
        <w:rPr>
          <w:rFonts w:ascii="Courier New" w:hAnsi="Courier New"/>
          <w:sz w:val="17"/>
        </w:rPr>
        <w:t xml:space="preserve">Tz64Ti­Z2ljwF­8NfRuI­uodVoO­/UykNcWw </w:t>
      </w:r>
      <w:r>
        <w:rPr>
          <w:sz w:val="17"/>
        </w:rPr>
        <w:t xml:space="preserve">Doğrulama Linki: </w:t>
      </w:r>
      <w:hyperlink r:id="rId14">
        <w:r>
          <w:rPr>
            <w:i/>
            <w:sz w:val="17"/>
            <w:u w:val="single"/>
          </w:rPr>
          <w:t>https://www.turkiye.gov.tr/icisleri­ebys</w:t>
        </w:r>
      </w:hyperlink>
    </w:p>
    <w:sectPr w:rsidR="00393B51">
      <w:pgSz w:w="11900" w:h="16840"/>
      <w:pgMar w:top="120" w:right="680" w:bottom="2060" w:left="640" w:header="0" w:footer="1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25" w:rsidRDefault="00747325">
      <w:r>
        <w:separator/>
      </w:r>
    </w:p>
  </w:endnote>
  <w:endnote w:type="continuationSeparator" w:id="0">
    <w:p w:rsidR="00747325" w:rsidRDefault="0074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51" w:rsidRDefault="0074732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6401667</wp:posOffset>
          </wp:positionH>
          <wp:positionV relativeFrom="page">
            <wp:posOffset>9439461</wp:posOffset>
          </wp:positionV>
          <wp:extent cx="613853" cy="6138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2" style="position:absolute;margin-left:42.6pt;margin-top:734.1pt;width:509.85pt;height:1.55pt;z-index:-15815680;mso-position-horizontal-relative:page;mso-position-vertical-relative:page" coordorigin="852,14682" coordsize="10197,31">
          <v:shape id="_x0000_s2056" style="position:absolute;left:851;top:14682;width:10197;height:11" coordorigin="852,14682" coordsize="10197,11" path="m11048,14682r-10196,l862,14692r10176,l11048,14682xe" fillcolor="#999" stroked="f">
            <v:path arrowok="t"/>
          </v:shape>
          <v:shape id="_x0000_s2055" style="position:absolute;left:851;top:14702;width:10197;height:11" coordorigin="852,14702" coordsize="10197,11" path="m11038,14702r-10176,l852,14713r10196,l11038,14702xe" fillcolor="#ededed" stroked="f">
            <v:path arrowok="t"/>
          </v:shape>
          <v:shape id="_x0000_s2054" style="position:absolute;left:851;top:14682;width:11;height:31" coordorigin="852,14682" coordsize="11,31" path="m852,14682r,31l862,14702r,-10l852,14682xe" fillcolor="#999" stroked="f">
            <v:path arrowok="t"/>
          </v:shape>
          <v:shape id="_x0000_s2053" style="position:absolute;left:11037;top:14682;width:11;height:31" coordorigin="11038,14682" coordsize="11,31" path="m11048,14682r-10,10l11038,14713r10,l11048,14682xe" fillcolor="#edede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742.7pt;width:193.35pt;height:42.15pt;z-index:-15815168;mso-position-horizontal-relative:page;mso-position-vertical-relative:page" filled="f" stroked="f">
          <v:textbox inset="0,0,0,0">
            <w:txbxContent>
              <w:p w:rsidR="00393B51" w:rsidRDefault="00747325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Mugla Valiliği</w:t>
                </w:r>
              </w:p>
              <w:p w:rsidR="00393B51" w:rsidRDefault="00747325">
                <w:pPr>
                  <w:spacing w:before="8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Telefon No: (252)214 12 34 Faks No: (252)214 11 62</w:t>
                </w:r>
              </w:p>
              <w:p w:rsidR="00393B51" w:rsidRDefault="00747325">
                <w:pPr>
                  <w:spacing w:before="8" w:line="249" w:lineRule="auto"/>
                  <w:ind w:left="20" w:right="562"/>
                  <w:rPr>
                    <w:sz w:val="17"/>
                  </w:rPr>
                </w:pPr>
                <w:r>
                  <w:rPr>
                    <w:sz w:val="17"/>
                  </w:rPr>
                  <w:t xml:space="preserve">e­Posta: İnternet Adresi: </w:t>
                </w:r>
                <w:hyperlink r:id="rId2">
                  <w:r>
                    <w:rPr>
                      <w:sz w:val="17"/>
                      <w:u w:val="single"/>
                    </w:rPr>
                    <w:t>www.icisleri.gov.tr</w:t>
                  </w:r>
                </w:hyperlink>
                <w:r>
                  <w:rPr>
                    <w:sz w:val="17"/>
                  </w:rPr>
                  <w:t xml:space="preserve"> Kep Adresi: </w:t>
                </w:r>
                <w:hyperlink r:id="rId3">
                  <w:r>
                    <w:rPr>
                      <w:sz w:val="17"/>
                    </w:rPr>
                    <w:t>icisleribakanligi@hs01.kep.tr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2.5pt;margin-top:742.7pt;width:85.05pt;height:31.95pt;z-index:-15814656;mso-position-horizontal-relative:page;mso-position-vertical-relative:page" filled="f" stroked="f">
          <v:textbox inset="0,0,0,0">
            <w:txbxContent>
              <w:p w:rsidR="00393B51" w:rsidRDefault="00747325">
                <w:pPr>
                  <w:spacing w:before="15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Bilgi için: Zerrin</w:t>
                </w:r>
                <w:r>
                  <w:rPr>
                    <w:spacing w:val="1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KILIÇ</w:t>
                </w:r>
              </w:p>
              <w:p w:rsidR="00393B51" w:rsidRDefault="00747325">
                <w:pPr>
                  <w:spacing w:before="8" w:line="249" w:lineRule="auto"/>
                  <w:ind w:left="834" w:firstLine="111"/>
                  <w:rPr>
                    <w:sz w:val="17"/>
                  </w:rPr>
                </w:pPr>
                <w:r>
                  <w:rPr>
                    <w:sz w:val="17"/>
                  </w:rPr>
                  <w:t>Programcı Telefon</w:t>
                </w:r>
                <w:r>
                  <w:rPr>
                    <w:spacing w:val="17"/>
                    <w:sz w:val="17"/>
                  </w:rPr>
                  <w:t xml:space="preserve"> </w:t>
                </w:r>
                <w:r>
                  <w:rPr>
                    <w:spacing w:val="-5"/>
                    <w:sz w:val="17"/>
                  </w:rPr>
                  <w:t>No: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2pt;margin-top:782pt;width:11pt;height:13.1pt;z-index:-15814144;mso-position-horizontal-relative:page;mso-position-vertical-relative:page" filled="f" stroked="f">
          <v:textbox inset="0,0,0,0">
            <w:txbxContent>
              <w:p w:rsidR="00393B51" w:rsidRDefault="0074732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432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25" w:rsidRDefault="00747325">
      <w:r>
        <w:separator/>
      </w:r>
    </w:p>
  </w:footnote>
  <w:footnote w:type="continuationSeparator" w:id="0">
    <w:p w:rsidR="00747325" w:rsidRDefault="0074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2501"/>
    <w:multiLevelType w:val="hybridMultilevel"/>
    <w:tmpl w:val="AA1C629C"/>
    <w:lvl w:ilvl="0" w:tplc="54C2F4EE">
      <w:start w:val="1"/>
      <w:numFmt w:val="decimal"/>
      <w:lvlText w:val="%1."/>
      <w:lvlJc w:val="left"/>
      <w:pPr>
        <w:ind w:left="181" w:hanging="37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tr-TR" w:eastAsia="en-US" w:bidi="ar-SA"/>
      </w:rPr>
    </w:lvl>
    <w:lvl w:ilvl="1" w:tplc="0C66FB16">
      <w:numFmt w:val="bullet"/>
      <w:lvlText w:val="•"/>
      <w:lvlJc w:val="left"/>
      <w:pPr>
        <w:ind w:left="9240" w:hanging="377"/>
      </w:pPr>
      <w:rPr>
        <w:rFonts w:hint="default"/>
        <w:lang w:val="tr-TR" w:eastAsia="en-US" w:bidi="ar-SA"/>
      </w:rPr>
    </w:lvl>
    <w:lvl w:ilvl="2" w:tplc="38708A98">
      <w:numFmt w:val="bullet"/>
      <w:lvlText w:val="•"/>
      <w:lvlJc w:val="left"/>
      <w:pPr>
        <w:ind w:left="9388" w:hanging="377"/>
      </w:pPr>
      <w:rPr>
        <w:rFonts w:hint="default"/>
        <w:lang w:val="tr-TR" w:eastAsia="en-US" w:bidi="ar-SA"/>
      </w:rPr>
    </w:lvl>
    <w:lvl w:ilvl="3" w:tplc="79D07D30">
      <w:numFmt w:val="bullet"/>
      <w:lvlText w:val="•"/>
      <w:lvlJc w:val="left"/>
      <w:pPr>
        <w:ind w:left="9537" w:hanging="377"/>
      </w:pPr>
      <w:rPr>
        <w:rFonts w:hint="default"/>
        <w:lang w:val="tr-TR" w:eastAsia="en-US" w:bidi="ar-SA"/>
      </w:rPr>
    </w:lvl>
    <w:lvl w:ilvl="4" w:tplc="2A1A813A">
      <w:numFmt w:val="bullet"/>
      <w:lvlText w:val="•"/>
      <w:lvlJc w:val="left"/>
      <w:pPr>
        <w:ind w:left="9686" w:hanging="377"/>
      </w:pPr>
      <w:rPr>
        <w:rFonts w:hint="default"/>
        <w:lang w:val="tr-TR" w:eastAsia="en-US" w:bidi="ar-SA"/>
      </w:rPr>
    </w:lvl>
    <w:lvl w:ilvl="5" w:tplc="2DA47892">
      <w:numFmt w:val="bullet"/>
      <w:lvlText w:val="•"/>
      <w:lvlJc w:val="left"/>
      <w:pPr>
        <w:ind w:left="9835" w:hanging="377"/>
      </w:pPr>
      <w:rPr>
        <w:rFonts w:hint="default"/>
        <w:lang w:val="tr-TR" w:eastAsia="en-US" w:bidi="ar-SA"/>
      </w:rPr>
    </w:lvl>
    <w:lvl w:ilvl="6" w:tplc="F1CA9058">
      <w:numFmt w:val="bullet"/>
      <w:lvlText w:val="•"/>
      <w:lvlJc w:val="left"/>
      <w:pPr>
        <w:ind w:left="9984" w:hanging="377"/>
      </w:pPr>
      <w:rPr>
        <w:rFonts w:hint="default"/>
        <w:lang w:val="tr-TR" w:eastAsia="en-US" w:bidi="ar-SA"/>
      </w:rPr>
    </w:lvl>
    <w:lvl w:ilvl="7" w:tplc="0024DF52">
      <w:numFmt w:val="bullet"/>
      <w:lvlText w:val="•"/>
      <w:lvlJc w:val="left"/>
      <w:pPr>
        <w:ind w:left="10133" w:hanging="377"/>
      </w:pPr>
      <w:rPr>
        <w:rFonts w:hint="default"/>
        <w:lang w:val="tr-TR" w:eastAsia="en-US" w:bidi="ar-SA"/>
      </w:rPr>
    </w:lvl>
    <w:lvl w:ilvl="8" w:tplc="EFB20EAE">
      <w:numFmt w:val="bullet"/>
      <w:lvlText w:val="•"/>
      <w:lvlJc w:val="left"/>
      <w:pPr>
        <w:ind w:left="10282" w:hanging="37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3B51"/>
    <w:rsid w:val="00393B51"/>
    <w:rsid w:val="00747325"/>
    <w:rsid w:val="00BE6327"/>
    <w:rsid w:val="00C2432B"/>
    <w:rsid w:val="00C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7C3A3F4"/>
  <w15:docId w15:val="{E8D97B89-C95B-44FD-A444-78B9E9F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3"/>
      <w:ind w:left="181" w:right="129" w:firstLine="4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urkiye.gov.tr/icisle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isleri.gov.tr/illeridaresi/gorseller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urkiye.gov.tr/icisler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isleribakanligi@hs01.kep.tr" TargetMode="External"/><Relationship Id="rId2" Type="http://schemas.openxmlformats.org/officeDocument/2006/relationships/hyperlink" Target="http://www.icisleri.gov.tr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Company>NouS/TncTR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Busra</cp:lastModifiedBy>
  <cp:revision>4</cp:revision>
  <dcterms:created xsi:type="dcterms:W3CDTF">2021-04-09T11:46:00Z</dcterms:created>
  <dcterms:modified xsi:type="dcterms:W3CDTF">2021-04-09T11:51:00Z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2021-04-09T00:00:00Z</vt:filetime>
  </property>
</Properties>
</file>